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F5D41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A84C4ED" w14:textId="77777777" w:rsidR="007D1159" w:rsidRPr="007D1159" w:rsidRDefault="007D1159" w:rsidP="007D1159">
      <w:pPr>
        <w:pStyle w:val="Default"/>
        <w:jc w:val="both"/>
        <w:rPr>
          <w:rFonts w:asciiTheme="minorHAnsi" w:hAnsiTheme="minorHAnsi" w:cstheme="minorHAnsi"/>
        </w:rPr>
      </w:pPr>
      <w:r w:rsidRPr="007D1159">
        <w:rPr>
          <w:rFonts w:asciiTheme="minorHAnsi" w:hAnsiTheme="minorHAnsi" w:cstheme="minorHAnsi"/>
        </w:rPr>
        <w:t xml:space="preserve"> </w:t>
      </w:r>
    </w:p>
    <w:p w14:paraId="5283B201" w14:textId="4AF38B00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>Instrukcja użytkowania i konserwacji STOŁÓW MARCUS</w:t>
      </w:r>
    </w:p>
    <w:p w14:paraId="48B9DC46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C28693F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150BE96" w14:textId="108490F6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Szanowny kliencie! </w:t>
      </w:r>
    </w:p>
    <w:p w14:paraId="31AC3B63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Zwracamy się z prośbą o zapoznanie i zastosowanie się do poniższych uwag i instrukcji , co pozwoli na długoletnie i bezawaryjne użytkowanie naszych wyrobów. </w:t>
      </w:r>
    </w:p>
    <w:p w14:paraId="1D443808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5A8575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76F15F7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UŻYTKOWANIE: </w:t>
      </w:r>
    </w:p>
    <w:p w14:paraId="3BAA65C5" w14:textId="02165B05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nie są zabawką, a ich użytkowanie powinno być monitorowane przez osoby dorosłe. </w:t>
      </w:r>
    </w:p>
    <w:p w14:paraId="130F0385" w14:textId="37FB3391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powinny być użytkowane zgodnie z ich instrukcją i przeznaczeniem. </w:t>
      </w:r>
    </w:p>
    <w:p w14:paraId="4206CDB3" w14:textId="6C0CC789" w:rsidR="007D115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powinny być dobrane do użytkownika zgodnie z zapisami normy PN-EN 1729-1: </w:t>
      </w:r>
    </w:p>
    <w:p w14:paraId="7BCDAB29" w14:textId="20EC3BE2" w:rsidR="002404E0" w:rsidRPr="007D1159" w:rsidRDefault="002404E0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8D07B2D" w14:textId="77777777" w:rsidR="00475F69" w:rsidRDefault="007D1159" w:rsidP="00475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eastAsia="Times New Roman" w:cstheme="minorHAnsi"/>
          <w:bCs/>
          <w:sz w:val="24"/>
          <w:szCs w:val="24"/>
          <w:lang w:eastAsia="pl-PL"/>
        </w:rPr>
        <w:drawing>
          <wp:inline distT="0" distB="0" distL="0" distR="0" wp14:anchorId="350CBC17" wp14:editId="7419D489">
            <wp:extent cx="6299835" cy="661670"/>
            <wp:effectExtent l="0" t="0" r="5715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5F69">
        <w:rPr>
          <w:rFonts w:cstheme="minorHAnsi"/>
          <w:color w:val="000000"/>
          <w:sz w:val="24"/>
          <w:szCs w:val="24"/>
        </w:rPr>
        <w:t xml:space="preserve"> </w:t>
      </w:r>
    </w:p>
    <w:p w14:paraId="021CF253" w14:textId="77777777" w:rsidR="00475F69" w:rsidRDefault="00475F69" w:rsidP="00475F6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E8901D9" w14:textId="2C934CA5" w:rsidR="00475F69" w:rsidRP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Niedostosowanie rozmiaru mebla do użytkownika może niekorzystnie wpływać na jego komfort i bezpieczeństwo oraz powodować uszkodzenia produktu niepodlegające uprawnieniom gwarancyjnym (np. w przypadku przeciążenia konstrukcji). </w:t>
      </w:r>
    </w:p>
    <w:p w14:paraId="14A512CB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należy użytkować w pomieszczeniach zamkniętych, suchych i zabezpieczonych przed szkodliwym wpływem warunków atmosferycznych, przy wilgotności względnej powietrza 40-70%, w temperaturze 0-30 stopni C. </w:t>
      </w:r>
    </w:p>
    <w:p w14:paraId="545155B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Mebli nie należy ustawiać w odległości mniejszej niż 1 metr od czynnych źródeł ciepła (grzejniki, piece). </w:t>
      </w:r>
    </w:p>
    <w:p w14:paraId="6F5CFBEB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Montaż mebla powinien przebiegać wyłącznie w oparciu o załączone do produktu instrukcje montażu oraz przy użyciu elementów montażowych dołączonych do konkretnego mebla. </w:t>
      </w:r>
    </w:p>
    <w:p w14:paraId="2ECDAE0C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Wymagane jest równe ustawienie (wypoziomowanie) podłoża mebli, a w razie konieczności regulacja drzwi poprzez dokręcenie lub wykręcenie śrub zawiasów. </w:t>
      </w:r>
    </w:p>
    <w:p w14:paraId="154A05A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 wolno przepychać, przesuwać, ciągnąć mebla gdyż grozi to jego trwałym uszkodzeniem lub przewróceniem. W celu przemieszczenia stołu/krzesła należy go unieść, stosując odpowiednie wózki, podnośniki w zależności od wielkości i ciężaru mebla. </w:t>
      </w:r>
    </w:p>
    <w:p w14:paraId="74393FFA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Powierzchnie blatów, należy chronić przed bezpośrednim działaniem gorących naczyń, zamoczeniem, a szczególnie przed działaniem alkoholu, octu, naturalnych soków owocowych. </w:t>
      </w:r>
    </w:p>
    <w:p w14:paraId="3D0B9FB1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 Wszelkie powstałe zanieczyszczenia należy niezwłocznie usunąć z powierzchni mebla zapobiegając wniknięciu zanieczyszczeń w głąb struktury mebla. </w:t>
      </w:r>
    </w:p>
    <w:p w14:paraId="2B358DBF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Każdy mebel posiada trwałe i czytelne oznaczenie rozmiaru zgodne z normą PN-EN 1729-1 Należy upewnić się, że rozmiar mebla odpowiada wzrostowi użytkownika według tabeli rozmiarowej. </w:t>
      </w:r>
    </w:p>
    <w:p w14:paraId="1E1E1B3E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Usuwanie z mebli oznaczeń produkcyjnych jest surowo zabronione. </w:t>
      </w:r>
    </w:p>
    <w:p w14:paraId="7A696727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są przeznaczone do użytkowników o masie ciała nieprzekraczającej 110 kg. Przekroczenie tego limitu może skutkować trwałym uszkodzeniem mebla i stwarzać zagrożenie dla zdrowia użytkownika. </w:t>
      </w:r>
    </w:p>
    <w:p w14:paraId="56DED317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krzeseł, stołów oraz innych mebli wolnostojących zabrania się siadania na blatach, stania na siedziskach oraz opierania pełnym ciężarem ciała o krawędzie. Takie działania mogą prowadzić do utraty stabilności mebla. </w:t>
      </w:r>
    </w:p>
    <w:p w14:paraId="106C7B44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zostały zaprojektowane w sposób uniemożliwiający przypadkowe zakleszczenie palców. Niemniej jednak zaleca się ostrożność podczas korzystania z mechanizmów rozkładania / regulacji wysokości. </w:t>
      </w:r>
    </w:p>
    <w:p w14:paraId="4D6F87A5" w14:textId="77777777" w:rsidR="00475F69" w:rsidRDefault="007D1159" w:rsidP="00475F6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przeszły pozytywnie badania stabilności, wytrzymałości i bezpieczeństwa użytkowania zgodnie z normą PN-EN 1729-2. </w:t>
      </w:r>
    </w:p>
    <w:p w14:paraId="75A37E39" w14:textId="77777777" w:rsidR="00475F6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celu zachowania trwałości oraz bezpieczeństwa użytkowania, zaleca się przeprowadzenie okresowej kontroli stanu mebli, nie rzadziej niż raz na 12 miesięcy. W przypadku mebli użytkowanych intensywnie (np. w placówkach edukacyjnych), przeglądy należy wykonywać co 6 miesięcy. </w:t>
      </w:r>
    </w:p>
    <w:p w14:paraId="7133994D" w14:textId="1C2E5110" w:rsidR="007D1159" w:rsidRDefault="007D1159" w:rsidP="007D1159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Liczba dopuszczalnych użytkowników przy poszczególnych stołach: </w:t>
      </w:r>
    </w:p>
    <w:p w14:paraId="0B6C633E" w14:textId="1D3FD926" w:rsidR="00B7616A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Kwadratowe małe </w:t>
      </w:r>
      <w:r>
        <w:rPr>
          <w:rFonts w:cstheme="minorHAnsi"/>
          <w:color w:val="000000"/>
          <w:sz w:val="24"/>
          <w:szCs w:val="24"/>
        </w:rPr>
        <w:t>1 osoba</w:t>
      </w:r>
    </w:p>
    <w:p w14:paraId="7D46C676" w14:textId="74BCAF1F" w:rsidR="00B7616A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Kwadratowe  duże 4 osoby</w:t>
      </w:r>
      <w:bookmarkStart w:id="0" w:name="_GoBack"/>
      <w:bookmarkEnd w:id="0"/>
    </w:p>
    <w:p w14:paraId="47C208FC" w14:textId="4E9C17CD" w:rsidR="00B7616A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Prostokątne  2 osoby</w:t>
      </w:r>
    </w:p>
    <w:p w14:paraId="7D2E09C7" w14:textId="1A518A18" w:rsidR="00B7616A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Okrągłe          1 osoba</w:t>
      </w:r>
    </w:p>
    <w:p w14:paraId="452B7EAE" w14:textId="19BA5681" w:rsidR="00B7616A" w:rsidRPr="00475F69" w:rsidRDefault="00B7616A" w:rsidP="00B7616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Trapezowe    2 osoby </w:t>
      </w:r>
    </w:p>
    <w:p w14:paraId="22504374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37CF54A6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707EFECD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BEZPIECZEŃSTWO: </w:t>
      </w:r>
    </w:p>
    <w:p w14:paraId="4EB521B9" w14:textId="77777777" w:rsidR="00475F6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E4A9764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Meble spełniają wymagania dotyczące ergonomii, wytrzymałości i stabilności zgodnie z obowiązującymi normami PN-EN 1729-1 oraz PN-EN 1729-2. </w:t>
      </w:r>
    </w:p>
    <w:p w14:paraId="78092841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Wszystkie krawędzie i narożniki zostały zaokrąglone lub odpowiednio zabezpieczone, aby ograniczyć ryzyko urazu. </w:t>
      </w:r>
    </w:p>
    <w:p w14:paraId="3B0E6476" w14:textId="77777777" w:rsidR="00475F69" w:rsidRDefault="007D1159" w:rsidP="00475F6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Należy unikać użytkowania mebli w sposób niezgodny z ich przeznaczeniem – np. siadania na oparciach krzeseł, wchodzenia na blaty lub opierania się o nie całym ciężarem ciała. </w:t>
      </w:r>
    </w:p>
    <w:p w14:paraId="761E8855" w14:textId="77777777" w:rsidR="00475F69" w:rsidRDefault="007D1159" w:rsidP="007D115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W przypadku mebli z podnośnikiem gazowym lub mechanizmem sprężynowym wszelkie regulacje powinny być wykonywane przez osoby dorosłe, zgodnie z instrukcją obsługi danego mechanizmu. </w:t>
      </w:r>
    </w:p>
    <w:p w14:paraId="32966986" w14:textId="0C612888" w:rsidR="007D1159" w:rsidRPr="00475F69" w:rsidRDefault="007D1159" w:rsidP="007D115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Wszelkie naprawy, modyfikacje lub wymiany elementów konstrukcyjnych mogą być przeprowadzane wyłącznie przez osoby przeszkolone i upoważnione przez producenta. </w:t>
      </w:r>
    </w:p>
    <w:p w14:paraId="4F5B0488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65CA26E" w14:textId="77777777" w:rsidR="00475F6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71C9C0DA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CZYSZCZENIE I KONSERWACJA: </w:t>
      </w:r>
    </w:p>
    <w:p w14:paraId="2AD01234" w14:textId="77777777" w:rsidR="00475F69" w:rsidRPr="007D115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9B48A57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Do czyszczenia i odświeżania mebli zaleca się stosowanie ogólnie dostępnych w handlu środków przeznaczonych do czyszczenia mebli, po uprzednim sprawdzeniu działania środka w niewidocznym miejscu mebla. </w:t>
      </w:r>
    </w:p>
    <w:p w14:paraId="6A7BF7C9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 Środki zastosowane do czyszczenia muszą być dostosowane do powierzchni, na której zostaną zastosowane tj. inne do laminatu płyt wiórowych, inne do naturalnego drewna itd. </w:t>
      </w:r>
    </w:p>
    <w:p w14:paraId="1E91C353" w14:textId="77777777" w:rsidR="00475F69" w:rsidRDefault="007D1159" w:rsidP="007D115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Powierzchnie mebli można zmywać wilgotną szmatką, a następnie niezwłocznie wysuszyć przez wytarcie miękką suchą tkaniną. Jakiekolwiek tarcie powierzchni meblowych nie jest wskazane. </w:t>
      </w:r>
    </w:p>
    <w:p w14:paraId="2E234E30" w14:textId="77777777" w:rsidR="00475F69" w:rsidRDefault="007D1159" w:rsidP="00475F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Używanie silnych, żrących środków czyszczących jest NIEDOZWOLONE !!! </w:t>
      </w:r>
    </w:p>
    <w:p w14:paraId="66C3318B" w14:textId="1B7B63C0" w:rsidR="007D1159" w:rsidRPr="00475F69" w:rsidRDefault="007D1159" w:rsidP="00475F69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23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Dezynfekcja mebla musi być przeprowadzana środkami do dezynfekcji powierzchni meblowych. </w:t>
      </w:r>
    </w:p>
    <w:p w14:paraId="69509110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2D9FE69" w14:textId="77777777" w:rsid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7D1159">
        <w:rPr>
          <w:rFonts w:cstheme="minorHAnsi"/>
          <w:b/>
          <w:bCs/>
          <w:color w:val="000000"/>
          <w:sz w:val="24"/>
          <w:szCs w:val="24"/>
        </w:rPr>
        <w:t xml:space="preserve">WARUNKI GWARANCYJNE: </w:t>
      </w:r>
    </w:p>
    <w:p w14:paraId="67AE8E32" w14:textId="77777777" w:rsidR="00475F69" w:rsidRPr="007D1159" w:rsidRDefault="00475F6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CAFD294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Każdy produkt posiada 2 letnią gwarancję producenta biegnącą od daty sprzedaży. </w:t>
      </w:r>
    </w:p>
    <w:p w14:paraId="6DA3376A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Nieprawidłowe użytkowanie mebli, niezgodne z niniejszą instrukcją oraz celem do którego zostały wyprodukowane czyni uprawnienia gwarancyjne nieważnymi, a wszelkie roszczenia Klienta zostaną odrzucone. </w:t>
      </w:r>
    </w:p>
    <w:p w14:paraId="53899984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Jeżeli w umowie – zamówieniu montaż był określony po stronie Gwaranta, podpis dokonany na protokole odbioru mebli bez wniesienia zastrzeżeń oznacza, że Zamawiający potwierdza brak wad dostarczonych elementów. </w:t>
      </w:r>
    </w:p>
    <w:p w14:paraId="7D3E36F9" w14:textId="77777777" w:rsidR="00475F69" w:rsidRDefault="007D1159" w:rsidP="00475F6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Gwarancja obejmuje odpowiedzialność z tytułu wad tkwiących w rzeczy sprzedanej powstałych wyłącznie na etapie produkcji mebla. </w:t>
      </w:r>
    </w:p>
    <w:p w14:paraId="386654BF" w14:textId="77777777" w:rsid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Gwarant zapewnia, że meble nie zawierają wad i spełniają swą funkcję pod warunkiem używania ich w typowych warunkach, zgodnie z przeznaczeniem, przy zachowaniu podstawowych zasad wymienionych w instrukcji użytkowania mebli, a w szczególności zasad wymienionych w instrukcji użytkowania mebli Moje Bambino. </w:t>
      </w:r>
    </w:p>
    <w:p w14:paraId="10F356E5" w14:textId="48CDFF53" w:rsidR="007D1159" w:rsidRPr="00475F69" w:rsidRDefault="007D1159" w:rsidP="007D1159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Uprawnienia Gwarancyjne nie obejmują: </w:t>
      </w:r>
    </w:p>
    <w:p w14:paraId="625946DD" w14:textId="48BA7260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odstępstw kolorystycznych między partiami, </w:t>
      </w:r>
    </w:p>
    <w:p w14:paraId="1600648E" w14:textId="7186EA25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odstępstw dotyczących faktury drewna lub materiałów obiciowych, które są wynikiem procesu technologicznego. </w:t>
      </w:r>
    </w:p>
    <w:p w14:paraId="281E4E04" w14:textId="6CC6DD17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lastRenderedPageBreak/>
        <w:t xml:space="preserve">uszkodzeń mechanicznych oraz chemicznych, przebarwień, odbarwień, utraty intensywności koloru spowodowanych działaniem światła, </w:t>
      </w:r>
    </w:p>
    <w:p w14:paraId="2DA3AC4C" w14:textId="3157F37D" w:rsidR="007D1159" w:rsidRPr="00475F69" w:rsidRDefault="007D1159" w:rsidP="00475F69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naturalnego zużycia się produktu, </w:t>
      </w:r>
    </w:p>
    <w:p w14:paraId="7B15A5F7" w14:textId="0E481EEE" w:rsidR="007D1159" w:rsidRPr="007D1159" w:rsidRDefault="007D1159" w:rsidP="007D1159">
      <w:p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D1159">
        <w:rPr>
          <w:rFonts w:cstheme="minorHAnsi"/>
          <w:color w:val="000000"/>
          <w:sz w:val="24"/>
          <w:szCs w:val="24"/>
        </w:rPr>
        <w:t xml:space="preserve">7. </w:t>
      </w:r>
      <w:r w:rsidR="00475F69">
        <w:rPr>
          <w:rFonts w:cstheme="minorHAnsi"/>
          <w:color w:val="000000"/>
          <w:sz w:val="24"/>
          <w:szCs w:val="24"/>
        </w:rPr>
        <w:t xml:space="preserve"> </w:t>
      </w:r>
      <w:r w:rsidRPr="007D1159">
        <w:rPr>
          <w:rFonts w:cstheme="minorHAnsi"/>
          <w:color w:val="000000"/>
          <w:sz w:val="24"/>
          <w:szCs w:val="24"/>
        </w:rPr>
        <w:t xml:space="preserve">Uprawnienia z tytułu gwarancji wygasają na skutek: </w:t>
      </w:r>
    </w:p>
    <w:p w14:paraId="088CE414" w14:textId="474A198F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wad powstałych w wyniku nieprawidłowego montażu </w:t>
      </w:r>
    </w:p>
    <w:p w14:paraId="201683BF" w14:textId="059FFCB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uszkodzeń powstałych w trakcie użytkowania, </w:t>
      </w:r>
    </w:p>
    <w:p w14:paraId="1AC8FDDF" w14:textId="0C961666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uszkodzeń powstałych na skutek prób wykonania napraw lub poprawek przez osoby nieupoważnione przez Gwaranta, </w:t>
      </w:r>
    </w:p>
    <w:p w14:paraId="2BC0126E" w14:textId="1403525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rozklejeń płyty czy okleiny powstałych w wyniku zamoczenia lub zawilgocenia, </w:t>
      </w:r>
    </w:p>
    <w:p w14:paraId="028FC534" w14:textId="4A20E234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skurczenia folii lub okleiny, powstałych poprzez niewłaściwe zabezpieczenie elementów przed urządzeniami emitującymi ciepło, </w:t>
      </w:r>
    </w:p>
    <w:p w14:paraId="608D1B0E" w14:textId="193B09EF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niewłaściwej konserwacji i czyszczenia wyrobów np. poprzez użycie niewłaściwych środków do pielęgnacji mebli, które zawierają substancje mogące naruszyć strukturę mebli, </w:t>
      </w:r>
    </w:p>
    <w:p w14:paraId="2053C6A6" w14:textId="5149864A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zabrudzenia wyrobów mogących wpłynąć na ich trwałe uszkodzenia, </w:t>
      </w:r>
    </w:p>
    <w:p w14:paraId="48F8A1A0" w14:textId="7E5E9127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szkód powstałych w wyniku zdemontowania i ponownego zamontowania zestawu mebli, </w:t>
      </w:r>
    </w:p>
    <w:p w14:paraId="055D505E" w14:textId="54885A77" w:rsidR="007D1159" w:rsidRPr="00475F69" w:rsidRDefault="007D1159" w:rsidP="00475F69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szkód powstałych w wyniku podjęcia samodzielnych napraw czy modyfikacji mebla. </w:t>
      </w:r>
    </w:p>
    <w:p w14:paraId="773EBE23" w14:textId="77777777" w:rsidR="00475F69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wystąpienia jakichkolwiek rozbieżności lub uszkodzeń należy niezwłocznie zaprzestać użytkowania mebla zabezpieczając przed dalszym użytkowaniem i/lub pogłębieniem powstałych uszkodzeń. </w:t>
      </w:r>
    </w:p>
    <w:p w14:paraId="29F664A9" w14:textId="77777777" w:rsidR="00475F69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Należy w terminie maksymalnie 14 dni kalendarzowych zgłosić zauważoną wadę pod rygorem utraty uprawnień gwarancyjnych poprzez udostępniony przez Gwaranta Formularz dostępny na stronie http://www.mojebambino.pl/reklamacje.php </w:t>
      </w:r>
    </w:p>
    <w:p w14:paraId="3B3B4121" w14:textId="77777777" w:rsid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475F69">
        <w:rPr>
          <w:rFonts w:cstheme="minorHAnsi"/>
          <w:color w:val="000000"/>
          <w:sz w:val="24"/>
          <w:szCs w:val="24"/>
        </w:rPr>
        <w:t xml:space="preserve">W przypadku gdy Gwarant uzna zgłoszoną wadę za uzasadnioną, gwarancja obejmuje bezpłatną naprawę lub wymianę towaru na nowy. Wybór sposobu realizacji uprawnień z tytułu gwarancji należy do Gwaranta. </w:t>
      </w:r>
    </w:p>
    <w:p w14:paraId="1D903327" w14:textId="77777777" w:rsidR="00747220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W przypadku, gdy zajdzie konieczność wymiany towarów lub elementów wyprodukowanych na bazie materiałów, których Gwarant już nie posiada w swojej ofercie (np. blat) Zamawiający ma obowiązek wybrać substytucyjny materiał lub towar występujący w zbliżonej cenie z aktualnej oferty, z którego zostanie wykonana wymienna część. Brak Wyboru w terminie 14 dni kalendarzowych od daty przedstawienia ofert jest równoznaczny z odstąpieniem od roszczeń z tytułu gwarancji. </w:t>
      </w:r>
    </w:p>
    <w:p w14:paraId="535361BB" w14:textId="77777777" w:rsidR="00747220" w:rsidRDefault="007D1159" w:rsidP="007D115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W przypadku dokonania naprawy termin gwarancji dla naprawionego elementu nie ulega przedłużeniu o czas trwania naprawy i dobiega końca wraz z przysługującymi uprawnieniami gwarancyjnymi obowiązującymi na całość produktu. </w:t>
      </w:r>
    </w:p>
    <w:p w14:paraId="47DC5C49" w14:textId="77777777" w:rsid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t xml:space="preserve"> W przypadku wykorzystania mebli niezgodnie z powyższą instrukcją Zamawiający traci wszelkie uprawnienia wynikające z gwarancji. </w:t>
      </w:r>
    </w:p>
    <w:p w14:paraId="0DD12D19" w14:textId="6BCD2F03" w:rsidR="007D1159" w:rsidRPr="00747220" w:rsidRDefault="007D1159" w:rsidP="0074722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2" w:line="240" w:lineRule="auto"/>
        <w:jc w:val="both"/>
        <w:rPr>
          <w:rFonts w:cstheme="minorHAnsi"/>
          <w:color w:val="000000"/>
          <w:sz w:val="24"/>
          <w:szCs w:val="24"/>
        </w:rPr>
      </w:pPr>
      <w:r w:rsidRPr="00747220">
        <w:rPr>
          <w:rFonts w:cstheme="minorHAnsi"/>
          <w:color w:val="000000"/>
          <w:sz w:val="24"/>
          <w:szCs w:val="24"/>
        </w:rPr>
        <w:lastRenderedPageBreak/>
        <w:t xml:space="preserve">Gwarant nie ponosi odpowiedzialności za straty wizerunkowe i finansowe spowodowane unieruchomieniem Towaru z powodu czynności gwarancyjnych i serwisowych. </w:t>
      </w:r>
    </w:p>
    <w:p w14:paraId="2CBBE183" w14:textId="77777777" w:rsidR="007D1159" w:rsidRPr="007D1159" w:rsidRDefault="007D1159" w:rsidP="007D115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7EF2964" w14:textId="3EC738BB" w:rsidR="007D1159" w:rsidRPr="007D1159" w:rsidRDefault="007D1159" w:rsidP="007472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7D1159">
        <w:rPr>
          <w:rFonts w:cstheme="minorHAnsi"/>
          <w:color w:val="000000"/>
          <w:sz w:val="24"/>
          <w:szCs w:val="24"/>
        </w:rPr>
        <w:t>W razie pytań pozostajemy do Państwa dyspozycji.</w:t>
      </w:r>
    </w:p>
    <w:sectPr w:rsidR="007D1159" w:rsidRPr="007D1159" w:rsidSect="00701C0A">
      <w:headerReference w:type="default" r:id="rId8"/>
      <w:footerReference w:type="default" r:id="rId9"/>
      <w:pgSz w:w="11906" w:h="16838" w:code="9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19F8B" w14:textId="77777777" w:rsidR="00FF5828" w:rsidRDefault="00FF5828" w:rsidP="00AE2646">
      <w:pPr>
        <w:spacing w:after="0" w:line="240" w:lineRule="auto"/>
      </w:pPr>
      <w:r>
        <w:separator/>
      </w:r>
    </w:p>
  </w:endnote>
  <w:endnote w:type="continuationSeparator" w:id="0">
    <w:p w14:paraId="0F647945" w14:textId="77777777" w:rsidR="00FF5828" w:rsidRDefault="00FF5828" w:rsidP="00AE2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99F9F" w14:textId="2D3D6953" w:rsidR="00AE2646" w:rsidRDefault="00AE2646">
    <w:pPr>
      <w:pStyle w:val="Stopka"/>
    </w:pPr>
  </w:p>
  <w:p w14:paraId="4F8D868E" w14:textId="304FD3BF" w:rsidR="00AE2646" w:rsidRDefault="00695061">
    <w:pPr>
      <w:pStyle w:val="Stopka"/>
    </w:pPr>
    <w:r>
      <w:rPr>
        <w:rFonts w:eastAsia="Times New Roman"/>
        <w:noProof/>
        <w:lang w:eastAsia="pl-PL"/>
      </w:rPr>
      <w:drawing>
        <wp:inline distT="0" distB="0" distL="0" distR="0" wp14:anchorId="7CF958DC" wp14:editId="2FAE9426">
          <wp:extent cx="6742024" cy="975441"/>
          <wp:effectExtent l="0" t="0" r="1905" b="0"/>
          <wp:docPr id="13494966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71FAE37-F89B-4BA8-91D6-D6FAE66F5E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1221" cy="9840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DBE4F" w14:textId="77777777" w:rsidR="00FF5828" w:rsidRDefault="00FF5828" w:rsidP="00AE2646">
      <w:pPr>
        <w:spacing w:after="0" w:line="240" w:lineRule="auto"/>
      </w:pPr>
      <w:r>
        <w:separator/>
      </w:r>
    </w:p>
  </w:footnote>
  <w:footnote w:type="continuationSeparator" w:id="0">
    <w:p w14:paraId="38179BBC" w14:textId="77777777" w:rsidR="00FF5828" w:rsidRDefault="00FF5828" w:rsidP="00AE2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D27EE" w14:textId="77777777" w:rsidR="00AE2646" w:rsidRDefault="004865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312E8A05" wp14:editId="6171B19D">
          <wp:simplePos x="0" y="0"/>
          <wp:positionH relativeFrom="column">
            <wp:posOffset>-756920</wp:posOffset>
          </wp:positionH>
          <wp:positionV relativeFrom="page">
            <wp:posOffset>81280</wp:posOffset>
          </wp:positionV>
          <wp:extent cx="7286625" cy="1721485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172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E18E41" w14:textId="77777777" w:rsidR="00AE2646" w:rsidRDefault="00AE26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069E9"/>
    <w:multiLevelType w:val="multilevel"/>
    <w:tmpl w:val="D1F8B4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06B93"/>
    <w:multiLevelType w:val="multilevel"/>
    <w:tmpl w:val="7FAEAB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754"/>
    <w:multiLevelType w:val="hybridMultilevel"/>
    <w:tmpl w:val="FF6EA2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6E59F9"/>
    <w:multiLevelType w:val="multilevel"/>
    <w:tmpl w:val="CE32E5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6F90"/>
    <w:multiLevelType w:val="multilevel"/>
    <w:tmpl w:val="6F44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63D62"/>
    <w:multiLevelType w:val="hybridMultilevel"/>
    <w:tmpl w:val="17FEB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F7333"/>
    <w:multiLevelType w:val="multilevel"/>
    <w:tmpl w:val="913632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2C671F"/>
    <w:multiLevelType w:val="multilevel"/>
    <w:tmpl w:val="ACBC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4D5B32"/>
    <w:multiLevelType w:val="hybridMultilevel"/>
    <w:tmpl w:val="AF76E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DB2303"/>
    <w:multiLevelType w:val="hybridMultilevel"/>
    <w:tmpl w:val="D23CC2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6600D3E"/>
    <w:multiLevelType w:val="multilevel"/>
    <w:tmpl w:val="5DBC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F06E65"/>
    <w:multiLevelType w:val="hybridMultilevel"/>
    <w:tmpl w:val="BC8A8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4654C"/>
    <w:multiLevelType w:val="multilevel"/>
    <w:tmpl w:val="C0F2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1C48C6"/>
    <w:multiLevelType w:val="hybridMultilevel"/>
    <w:tmpl w:val="15B420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93865"/>
    <w:multiLevelType w:val="multilevel"/>
    <w:tmpl w:val="5AF85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252A88"/>
    <w:multiLevelType w:val="hybridMultilevel"/>
    <w:tmpl w:val="D646F340"/>
    <w:lvl w:ilvl="0" w:tplc="04150001">
      <w:start w:val="1"/>
      <w:numFmt w:val="bullet"/>
      <w:lvlText w:val=""/>
      <w:lvlJc w:val="left"/>
      <w:pPr>
        <w:ind w:left="105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16" w15:restartNumberingAfterBreak="0">
    <w:nsid w:val="22C215DF"/>
    <w:multiLevelType w:val="hybridMultilevel"/>
    <w:tmpl w:val="64CE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55988"/>
    <w:multiLevelType w:val="hybridMultilevel"/>
    <w:tmpl w:val="CBDC6D6A"/>
    <w:lvl w:ilvl="0" w:tplc="99E45C12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00DB3"/>
    <w:multiLevelType w:val="hybridMultilevel"/>
    <w:tmpl w:val="619E8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83B54"/>
    <w:multiLevelType w:val="multilevel"/>
    <w:tmpl w:val="AEB83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B25559D"/>
    <w:multiLevelType w:val="multilevel"/>
    <w:tmpl w:val="4C46ADB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9131F0"/>
    <w:multiLevelType w:val="hybridMultilevel"/>
    <w:tmpl w:val="069CC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AE773E"/>
    <w:multiLevelType w:val="hybridMultilevel"/>
    <w:tmpl w:val="D4C06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C25053"/>
    <w:multiLevelType w:val="hybridMultilevel"/>
    <w:tmpl w:val="A4AC0E36"/>
    <w:lvl w:ilvl="0" w:tplc="03D2E30A">
      <w:start w:val="1"/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50627"/>
    <w:multiLevelType w:val="multilevel"/>
    <w:tmpl w:val="842E367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78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03F9F"/>
    <w:multiLevelType w:val="hybridMultilevel"/>
    <w:tmpl w:val="BCCC864C"/>
    <w:lvl w:ilvl="0" w:tplc="0415000F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39D7378C"/>
    <w:multiLevelType w:val="multilevel"/>
    <w:tmpl w:val="874E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5C604C"/>
    <w:multiLevelType w:val="multilevel"/>
    <w:tmpl w:val="2FBE0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9226E89"/>
    <w:multiLevelType w:val="multilevel"/>
    <w:tmpl w:val="8498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7A0614"/>
    <w:multiLevelType w:val="hybridMultilevel"/>
    <w:tmpl w:val="BA76D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CA0EBF"/>
    <w:multiLevelType w:val="hybridMultilevel"/>
    <w:tmpl w:val="7DA6A6DE"/>
    <w:lvl w:ilvl="0" w:tplc="79620DEC">
      <w:start w:val="1"/>
      <w:numFmt w:val="decimal"/>
      <w:lvlText w:val="%1."/>
      <w:lvlJc w:val="left"/>
      <w:pPr>
        <w:ind w:left="405" w:hanging="360"/>
      </w:pPr>
      <w:rPr>
        <w:rFonts w:eastAsia="Calibri" w:cs="Times New Roman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55A26DA5"/>
    <w:multiLevelType w:val="hybridMultilevel"/>
    <w:tmpl w:val="2A3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9862D1"/>
    <w:multiLevelType w:val="hybridMultilevel"/>
    <w:tmpl w:val="868630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4E12EE"/>
    <w:multiLevelType w:val="hybridMultilevel"/>
    <w:tmpl w:val="B81C9A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2722AE"/>
    <w:multiLevelType w:val="multilevel"/>
    <w:tmpl w:val="6CA0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3F0E10"/>
    <w:multiLevelType w:val="multilevel"/>
    <w:tmpl w:val="5DC6E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5A4193"/>
    <w:multiLevelType w:val="multilevel"/>
    <w:tmpl w:val="AEB83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DD2BDD"/>
    <w:multiLevelType w:val="hybridMultilevel"/>
    <w:tmpl w:val="E9920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5"/>
  </w:num>
  <w:num w:numId="6">
    <w:abstractNumId w:val="11"/>
  </w:num>
  <w:num w:numId="7">
    <w:abstractNumId w:val="30"/>
  </w:num>
  <w:num w:numId="8">
    <w:abstractNumId w:val="17"/>
  </w:num>
  <w:num w:numId="9">
    <w:abstractNumId w:val="6"/>
  </w:num>
  <w:num w:numId="10">
    <w:abstractNumId w:val="36"/>
  </w:num>
  <w:num w:numId="11">
    <w:abstractNumId w:val="24"/>
  </w:num>
  <w:num w:numId="12">
    <w:abstractNumId w:val="3"/>
  </w:num>
  <w:num w:numId="13">
    <w:abstractNumId w:val="19"/>
  </w:num>
  <w:num w:numId="14">
    <w:abstractNumId w:val="4"/>
  </w:num>
  <w:num w:numId="15">
    <w:abstractNumId w:val="12"/>
  </w:num>
  <w:num w:numId="16">
    <w:abstractNumId w:val="27"/>
  </w:num>
  <w:num w:numId="17">
    <w:abstractNumId w:val="28"/>
  </w:num>
  <w:num w:numId="18">
    <w:abstractNumId w:val="7"/>
  </w:num>
  <w:num w:numId="19">
    <w:abstractNumId w:val="34"/>
  </w:num>
  <w:num w:numId="20">
    <w:abstractNumId w:val="14"/>
  </w:num>
  <w:num w:numId="21">
    <w:abstractNumId w:val="10"/>
  </w:num>
  <w:num w:numId="22">
    <w:abstractNumId w:val="35"/>
  </w:num>
  <w:num w:numId="23">
    <w:abstractNumId w:val="0"/>
  </w:num>
  <w:num w:numId="24">
    <w:abstractNumId w:val="20"/>
  </w:num>
  <w:num w:numId="25">
    <w:abstractNumId w:val="1"/>
  </w:num>
  <w:num w:numId="26">
    <w:abstractNumId w:val="26"/>
  </w:num>
  <w:num w:numId="27">
    <w:abstractNumId w:val="8"/>
  </w:num>
  <w:num w:numId="28">
    <w:abstractNumId w:val="31"/>
  </w:num>
  <w:num w:numId="29">
    <w:abstractNumId w:val="2"/>
  </w:num>
  <w:num w:numId="30">
    <w:abstractNumId w:val="16"/>
  </w:num>
  <w:num w:numId="31">
    <w:abstractNumId w:val="22"/>
  </w:num>
  <w:num w:numId="32">
    <w:abstractNumId w:val="9"/>
  </w:num>
  <w:num w:numId="33">
    <w:abstractNumId w:val="29"/>
  </w:num>
  <w:num w:numId="34">
    <w:abstractNumId w:val="21"/>
  </w:num>
  <w:num w:numId="35">
    <w:abstractNumId w:val="32"/>
  </w:num>
  <w:num w:numId="36">
    <w:abstractNumId w:val="37"/>
  </w:num>
  <w:num w:numId="37">
    <w:abstractNumId w:val="23"/>
  </w:num>
  <w:num w:numId="38">
    <w:abstractNumId w:val="13"/>
  </w:num>
  <w:num w:numId="39">
    <w:abstractNumId w:val="5"/>
  </w:num>
  <w:num w:numId="40">
    <w:abstractNumId w:val="2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46"/>
    <w:rsid w:val="0014441B"/>
    <w:rsid w:val="001A074A"/>
    <w:rsid w:val="001A77B1"/>
    <w:rsid w:val="001B2E21"/>
    <w:rsid w:val="001C45C4"/>
    <w:rsid w:val="001E5C36"/>
    <w:rsid w:val="002404E0"/>
    <w:rsid w:val="002426AD"/>
    <w:rsid w:val="00256180"/>
    <w:rsid w:val="00297778"/>
    <w:rsid w:val="002D5B83"/>
    <w:rsid w:val="002E0E69"/>
    <w:rsid w:val="002F079C"/>
    <w:rsid w:val="00356B59"/>
    <w:rsid w:val="003B200F"/>
    <w:rsid w:val="003C5403"/>
    <w:rsid w:val="00475F69"/>
    <w:rsid w:val="004865A3"/>
    <w:rsid w:val="00494D42"/>
    <w:rsid w:val="005237C6"/>
    <w:rsid w:val="0055325E"/>
    <w:rsid w:val="00577EE9"/>
    <w:rsid w:val="005B3947"/>
    <w:rsid w:val="005B5721"/>
    <w:rsid w:val="005D422A"/>
    <w:rsid w:val="00684857"/>
    <w:rsid w:val="00695061"/>
    <w:rsid w:val="006A4F48"/>
    <w:rsid w:val="006B402B"/>
    <w:rsid w:val="006F29BC"/>
    <w:rsid w:val="00701C0A"/>
    <w:rsid w:val="0072332E"/>
    <w:rsid w:val="00725255"/>
    <w:rsid w:val="00747220"/>
    <w:rsid w:val="007D1159"/>
    <w:rsid w:val="008A5E59"/>
    <w:rsid w:val="008E5280"/>
    <w:rsid w:val="00960886"/>
    <w:rsid w:val="00970412"/>
    <w:rsid w:val="009865DF"/>
    <w:rsid w:val="009E5692"/>
    <w:rsid w:val="009F0677"/>
    <w:rsid w:val="00A24F5F"/>
    <w:rsid w:val="00A479E9"/>
    <w:rsid w:val="00AE2646"/>
    <w:rsid w:val="00B20A49"/>
    <w:rsid w:val="00B265DA"/>
    <w:rsid w:val="00B339C1"/>
    <w:rsid w:val="00B63277"/>
    <w:rsid w:val="00B7616A"/>
    <w:rsid w:val="00BD0CB0"/>
    <w:rsid w:val="00BE31A5"/>
    <w:rsid w:val="00BF110F"/>
    <w:rsid w:val="00C85BA1"/>
    <w:rsid w:val="00CB751A"/>
    <w:rsid w:val="00CC564F"/>
    <w:rsid w:val="00CE6245"/>
    <w:rsid w:val="00CF3055"/>
    <w:rsid w:val="00D259F8"/>
    <w:rsid w:val="00D85C2A"/>
    <w:rsid w:val="00DD4A9A"/>
    <w:rsid w:val="00E41B3E"/>
    <w:rsid w:val="00E56F22"/>
    <w:rsid w:val="00E60B48"/>
    <w:rsid w:val="00F227BD"/>
    <w:rsid w:val="00FF1BB0"/>
    <w:rsid w:val="00FF4D27"/>
    <w:rsid w:val="00FF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E5F6A"/>
  <w15:docId w15:val="{1D225C9D-56A4-48BC-BE33-45BF7B8A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F3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30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4F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2646"/>
  </w:style>
  <w:style w:type="paragraph" w:styleId="Stopka">
    <w:name w:val="footer"/>
    <w:basedOn w:val="Normalny"/>
    <w:link w:val="StopkaZnak"/>
    <w:uiPriority w:val="99"/>
    <w:unhideWhenUsed/>
    <w:rsid w:val="00AE2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2646"/>
  </w:style>
  <w:style w:type="paragraph" w:styleId="Tekstdymka">
    <w:name w:val="Balloon Text"/>
    <w:basedOn w:val="Normalny"/>
    <w:link w:val="TekstdymkaZnak"/>
    <w:uiPriority w:val="99"/>
    <w:semiHidden/>
    <w:unhideWhenUsed/>
    <w:rsid w:val="00AE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6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E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5C36"/>
    <w:rPr>
      <w:b/>
      <w:bCs/>
    </w:rPr>
  </w:style>
  <w:style w:type="table" w:styleId="Tabela-Siatka">
    <w:name w:val="Table Grid"/>
    <w:basedOn w:val="Standardowy"/>
    <w:uiPriority w:val="39"/>
    <w:rsid w:val="00CC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F305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305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B20A49"/>
    <w:pPr>
      <w:ind w:left="720"/>
      <w:contextualSpacing/>
    </w:pPr>
  </w:style>
  <w:style w:type="paragraph" w:customStyle="1" w:styleId="Default">
    <w:name w:val="Default"/>
    <w:rsid w:val="00240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4F5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wydatnienie">
    <w:name w:val="Emphasis"/>
    <w:basedOn w:val="Domylnaczcionkaakapitu"/>
    <w:uiPriority w:val="20"/>
    <w:qFormat/>
    <w:rsid w:val="00A24F5F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5B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5BA1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C85BA1"/>
  </w:style>
  <w:style w:type="paragraph" w:customStyle="1" w:styleId="isselectedend">
    <w:name w:val="isselectedend"/>
    <w:basedOn w:val="Normalny"/>
    <w:rsid w:val="00E4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92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A159C673-1B2A-4838-A2B7-F4D28554A3CC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1246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Kujawiak</dc:creator>
  <cp:lastModifiedBy>Magdalena Wojtecka</cp:lastModifiedBy>
  <cp:revision>2</cp:revision>
  <cp:lastPrinted>2026-03-10T10:18:00Z</cp:lastPrinted>
  <dcterms:created xsi:type="dcterms:W3CDTF">2026-03-10T10:19:00Z</dcterms:created>
  <dcterms:modified xsi:type="dcterms:W3CDTF">2026-03-10T10:19:00Z</dcterms:modified>
</cp:coreProperties>
</file>